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464DDF">
      <w:pPr>
        <w:rPr>
          <w:b/>
          <w:bCs/>
        </w:rPr>
      </w:pPr>
    </w:p>
    <w:p w:rsidR="00464DDF" w:rsidRDefault="00A557E0" w:rsidP="00464DDF">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Osteoarthritis</w:t>
      </w:r>
    </w:p>
    <w:p w:rsidR="00464DDF" w:rsidRDefault="00A557E0" w:rsidP="00464DD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464DDF" w:rsidRDefault="00A557E0" w:rsidP="00464DD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464DDF" w:rsidRDefault="00A557E0" w:rsidP="00464DDF">
      <w:pPr>
        <w:jc w:val="center"/>
        <w:rPr>
          <w:b/>
          <w:bCs/>
        </w:rPr>
      </w:pPr>
      <w:r>
        <w:rPr>
          <w:rFonts w:ascii="Times New Roman" w:hAnsi="Times New Roman" w:cs="Times New Roman"/>
          <w:color w:val="000000" w:themeColor="text1"/>
          <w:sz w:val="24"/>
          <w:szCs w:val="24"/>
        </w:rPr>
        <w:t>Date</w:t>
      </w:r>
    </w:p>
    <w:p w:rsidR="00464DDF" w:rsidRDefault="00464DDF">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Default="00571E3E">
      <w:pPr>
        <w:rPr>
          <w:b/>
          <w:bCs/>
        </w:rPr>
      </w:pPr>
    </w:p>
    <w:p w:rsidR="00571E3E" w:rsidRPr="00571E3E" w:rsidRDefault="00A557E0" w:rsidP="00571E3E">
      <w:pPr>
        <w:spacing w:after="0" w:line="480" w:lineRule="auto"/>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lastRenderedPageBreak/>
        <w:t>Osteoarthritis</w:t>
      </w:r>
    </w:p>
    <w:p w:rsidR="00464DDF" w:rsidRPr="00571E3E" w:rsidRDefault="00A557E0" w:rsidP="00571E3E">
      <w:pPr>
        <w:spacing w:after="0" w:line="480" w:lineRule="auto"/>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History</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Patient Information: the patient is a 55-year-old female</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Chief complaint: the patient stated that she had left knee pain.</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History of present illness: </w:t>
      </w:r>
      <w:r w:rsidRPr="00571E3E">
        <w:rPr>
          <w:rFonts w:ascii="Times New Roman" w:hAnsi="Times New Roman" w:cs="Times New Roman"/>
          <w:color w:val="000000" w:themeColor="text1"/>
          <w:sz w:val="24"/>
          <w:szCs w:val="24"/>
        </w:rPr>
        <w:t>the patient stated that she had dull aching knee pain, ranging at 4/10. The pain started a month ago and got worse every day. The relieving factor of the pain is resting. The patient denied the injury of the knee.</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Allergy: no allergy was presented.</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Past </w:t>
      </w:r>
      <w:r w:rsidRPr="00571E3E">
        <w:rPr>
          <w:rFonts w:ascii="Times New Roman" w:hAnsi="Times New Roman" w:cs="Times New Roman"/>
          <w:color w:val="000000" w:themeColor="text1"/>
          <w:sz w:val="24"/>
          <w:szCs w:val="24"/>
        </w:rPr>
        <w:t>medical history: patient states that she has a history of GERD (gastroesophageal reflux disease).</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Surgical History: the patient has not undergone any minor or major surgery</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Medications: the patient is not on any medication</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Social History: the patient does </w:t>
      </w:r>
      <w:r w:rsidRPr="00571E3E">
        <w:rPr>
          <w:rFonts w:ascii="Times New Roman" w:hAnsi="Times New Roman" w:cs="Times New Roman"/>
          <w:color w:val="000000" w:themeColor="text1"/>
          <w:sz w:val="24"/>
          <w:szCs w:val="24"/>
        </w:rPr>
        <w:t>not consume alcohol or any illicit drug. Does not smoke. The patient is not married and has one sexual partner.</w:t>
      </w:r>
    </w:p>
    <w:p w:rsidR="00BB7FA8"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Family history: no history of genetic or chronic disease in the family</w:t>
      </w:r>
    </w:p>
    <w:p w:rsidR="002A517D" w:rsidRPr="00571E3E" w:rsidRDefault="00A557E0" w:rsidP="00571E3E">
      <w:pPr>
        <w:spacing w:after="0" w:line="480" w:lineRule="auto"/>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Review of Systems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Constitutional: no fever or chills, no malaise</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Skin: no</w:t>
      </w:r>
      <w:r w:rsidRPr="00571E3E">
        <w:rPr>
          <w:rFonts w:ascii="Times New Roman" w:hAnsi="Times New Roman" w:cs="Times New Roman"/>
          <w:color w:val="000000" w:themeColor="text1"/>
          <w:sz w:val="24"/>
          <w:szCs w:val="24"/>
        </w:rPr>
        <w:t xml:space="preserve"> swelling, no rashes, no discoloration, no ulcers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HEENT:  headache is present, no double vision, no sore throat, ear pain absent, no rhinorrhea</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Cardiovascular: no palpitations or chest pains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Respiratory: no dyspnea or cough</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Gastrointestinal: no diarrhea, a</w:t>
      </w:r>
      <w:r w:rsidRPr="00571E3E">
        <w:rPr>
          <w:rFonts w:ascii="Times New Roman" w:hAnsi="Times New Roman" w:cs="Times New Roman"/>
          <w:color w:val="000000" w:themeColor="text1"/>
          <w:sz w:val="24"/>
          <w:szCs w:val="24"/>
        </w:rPr>
        <w:t>bdominal pain, blood in the stool, and vomiting</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Endocrine: no polyuria, polyphagia, or polydipsia</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Genitourinary: no dysuria, no urinary frequency</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Musculoskeletal: left knee pain present.</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lastRenderedPageBreak/>
        <w:t>Extremities: shooting pain on left knee</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Skin: warm, no rashes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Reprodu</w:t>
      </w:r>
      <w:r w:rsidRPr="00571E3E">
        <w:rPr>
          <w:rFonts w:ascii="Times New Roman" w:hAnsi="Times New Roman" w:cs="Times New Roman"/>
          <w:color w:val="000000" w:themeColor="text1"/>
          <w:sz w:val="24"/>
          <w:szCs w:val="24"/>
        </w:rPr>
        <w:t>ctive: the presence of post-menopausal</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Neurologic: no dizziness or weakness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Psychiatry: no mood swings, no confusion, no depression</w:t>
      </w:r>
    </w:p>
    <w:p w:rsidR="002A517D" w:rsidRPr="00571E3E" w:rsidRDefault="00A557E0" w:rsidP="00571E3E">
      <w:pPr>
        <w:spacing w:after="0" w:line="480" w:lineRule="auto"/>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Physical Examination</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General Survey: The patient is alert, well oriented, with no signs of distress.</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Vital signs: Blood </w:t>
      </w:r>
      <w:r w:rsidRPr="00571E3E">
        <w:rPr>
          <w:rFonts w:ascii="Times New Roman" w:hAnsi="Times New Roman" w:cs="Times New Roman"/>
          <w:color w:val="000000" w:themeColor="text1"/>
          <w:sz w:val="24"/>
          <w:szCs w:val="24"/>
        </w:rPr>
        <w:t>pressure 137/70 mmHg, Heart rate 73 beats per minute, Respiratory rate 18 breaths per minute, Temperature 97.9 F, Oxygen saturation 98%, weight 177lbs, height 5’8, and BMI 26.9.</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HEENT: normocephalic</w:t>
      </w:r>
      <w:r w:rsidR="00FC61F4" w:rsidRPr="00571E3E">
        <w:rPr>
          <w:rFonts w:ascii="Times New Roman" w:hAnsi="Times New Roman" w:cs="Times New Roman"/>
          <w:color w:val="000000" w:themeColor="text1"/>
          <w:sz w:val="24"/>
          <w:szCs w:val="24"/>
        </w:rPr>
        <w:t>, conjunctivae are normal, no discharge of the eyes; ears are normal with no swelling, redness, the tympanic membrane is intact; the nasal cavity is clear, pink, smooth, moist, no bleeding; no lesions of the lips, the tongue is pink, no lesions on the throat.</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Cardiovascular: heart rate is regular, S1 and S2 </w:t>
      </w:r>
      <w:r w:rsidRPr="00571E3E">
        <w:rPr>
          <w:rFonts w:ascii="Times New Roman" w:hAnsi="Times New Roman" w:cs="Times New Roman"/>
          <w:color w:val="000000" w:themeColor="text1"/>
          <w:sz w:val="24"/>
          <w:szCs w:val="24"/>
        </w:rPr>
        <w:t>sounds are normal, no rubs, thrills, or murmurs.</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Respiratory: breath sounds are clear, no rales, or rhonchi</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Abdomen: distension present, soft abdomen, bowel sounds are normal</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Musculoskeletal: The patient can flex and extend the spine</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Extremities: no edema,</w:t>
      </w:r>
      <w:r w:rsidRPr="00571E3E">
        <w:rPr>
          <w:rFonts w:ascii="Times New Roman" w:hAnsi="Times New Roman" w:cs="Times New Roman"/>
          <w:color w:val="000000" w:themeColor="text1"/>
          <w:sz w:val="24"/>
          <w:szCs w:val="24"/>
        </w:rPr>
        <w:t xml:space="preserve"> palpable pulses, no cyanosis, no clubbing, no limited range of movement.</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Neurologic: alert and well oriented</w:t>
      </w:r>
    </w:p>
    <w:p w:rsidR="00FC61F4"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Skin: intact, warm, and good turgor</w:t>
      </w:r>
    </w:p>
    <w:p w:rsidR="002A517D" w:rsidRPr="00571E3E" w:rsidRDefault="00A557E0" w:rsidP="00571E3E">
      <w:pPr>
        <w:spacing w:after="0" w:line="480" w:lineRule="auto"/>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Psychiatry: patient not confused, no mood swings, no anxiety</w:t>
      </w:r>
    </w:p>
    <w:p w:rsidR="00545469" w:rsidRPr="00571E3E" w:rsidRDefault="00A557E0" w:rsidP="00571E3E">
      <w:pPr>
        <w:spacing w:after="0" w:line="480" w:lineRule="auto"/>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 xml:space="preserve">Actual Diagnosis: </w:t>
      </w:r>
      <w:r w:rsidR="001A26EA" w:rsidRPr="00571E3E">
        <w:rPr>
          <w:rFonts w:ascii="Times New Roman" w:hAnsi="Times New Roman" w:cs="Times New Roman"/>
          <w:b/>
          <w:bCs/>
          <w:color w:val="000000" w:themeColor="text1"/>
          <w:sz w:val="24"/>
          <w:szCs w:val="24"/>
        </w:rPr>
        <w:t>Osteoarthritis</w:t>
      </w:r>
    </w:p>
    <w:p w:rsidR="00545469"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lastRenderedPageBreak/>
        <w:t>Knee pain is a c</w:t>
      </w:r>
      <w:r w:rsidRPr="00571E3E">
        <w:rPr>
          <w:rFonts w:ascii="Times New Roman" w:hAnsi="Times New Roman" w:cs="Times New Roman"/>
          <w:color w:val="000000" w:themeColor="text1"/>
          <w:sz w:val="24"/>
          <w:szCs w:val="24"/>
        </w:rPr>
        <w:t xml:space="preserve">ondition that occurs among many people following underlying conditions such as arthritis, overuse injury, or sudden injury. It is the most common musculoskeletal </w:t>
      </w:r>
      <w:r w:rsidR="001A26EA" w:rsidRPr="00571E3E">
        <w:rPr>
          <w:rFonts w:ascii="Times New Roman" w:hAnsi="Times New Roman" w:cs="Times New Roman"/>
          <w:color w:val="000000" w:themeColor="text1"/>
          <w:sz w:val="24"/>
          <w:szCs w:val="24"/>
        </w:rPr>
        <w:t>symptom</w:t>
      </w:r>
      <w:r w:rsidRPr="00571E3E">
        <w:rPr>
          <w:rFonts w:ascii="Times New Roman" w:hAnsi="Times New Roman" w:cs="Times New Roman"/>
          <w:color w:val="000000" w:themeColor="text1"/>
          <w:sz w:val="24"/>
          <w:szCs w:val="24"/>
        </w:rPr>
        <w:t xml:space="preserve"> which influences people to seek health care services. With the increased rate of activities among people, knee pain has become prevalent. Knee pain is related to various signs and symptoms such as inability to straighten the leg fully, crunching noises, i</w:t>
      </w:r>
      <w:r w:rsidRPr="00571E3E">
        <w:rPr>
          <w:rFonts w:ascii="Times New Roman" w:hAnsi="Times New Roman" w:cs="Times New Roman"/>
          <w:color w:val="000000" w:themeColor="text1"/>
          <w:sz w:val="24"/>
          <w:szCs w:val="24"/>
        </w:rPr>
        <w:t>nstability and weakness, warmth on touch and redness and stiffness, and swelling. The suggestions on when to see a doctor includes; the inability of a patient to bear weight or a feeling of instability, knee swellings, inability to flex or extend the knee,</w:t>
      </w:r>
      <w:r w:rsidRPr="00571E3E">
        <w:rPr>
          <w:rFonts w:ascii="Times New Roman" w:hAnsi="Times New Roman" w:cs="Times New Roman"/>
          <w:color w:val="000000" w:themeColor="text1"/>
          <w:sz w:val="24"/>
          <w:szCs w:val="24"/>
        </w:rPr>
        <w:t xml:space="preserve"> obvious deformity on the leg, swelling, pain, redness or fever, and </w:t>
      </w:r>
      <w:r w:rsidR="005F40AA" w:rsidRPr="00571E3E">
        <w:rPr>
          <w:rFonts w:ascii="Times New Roman" w:hAnsi="Times New Roman" w:cs="Times New Roman"/>
          <w:color w:val="000000" w:themeColor="text1"/>
          <w:sz w:val="24"/>
          <w:szCs w:val="24"/>
        </w:rPr>
        <w:t xml:space="preserve">severe pain linked to the injury. In this case, the patient presents with a complaint of left knee pain with no other sign. </w:t>
      </w:r>
      <w:r w:rsidR="001A26EA" w:rsidRPr="00571E3E">
        <w:rPr>
          <w:rFonts w:ascii="Times New Roman" w:hAnsi="Times New Roman" w:cs="Times New Roman"/>
          <w:color w:val="000000" w:themeColor="text1"/>
          <w:sz w:val="24"/>
          <w:szCs w:val="24"/>
        </w:rPr>
        <w:t xml:space="preserve">The absence of damage in the patient suggests that the patient has osteoarthritis, which is a common condition as people age. More so, osteoarthritis is </w:t>
      </w:r>
      <w:r w:rsidR="00A2481B" w:rsidRPr="00571E3E">
        <w:rPr>
          <w:rFonts w:ascii="Times New Roman" w:hAnsi="Times New Roman" w:cs="Times New Roman"/>
          <w:color w:val="000000" w:themeColor="text1"/>
          <w:sz w:val="24"/>
          <w:szCs w:val="24"/>
        </w:rPr>
        <w:t xml:space="preserve">a condition that gets worse with time, and if not well treated, both </w:t>
      </w:r>
      <w:r w:rsidR="00485EE4" w:rsidRPr="00571E3E">
        <w:rPr>
          <w:rFonts w:ascii="Times New Roman" w:hAnsi="Times New Roman" w:cs="Times New Roman"/>
          <w:color w:val="000000" w:themeColor="text1"/>
          <w:sz w:val="24"/>
          <w:szCs w:val="24"/>
        </w:rPr>
        <w:t>knees</w:t>
      </w:r>
      <w:r w:rsidR="00A2481B" w:rsidRPr="00571E3E">
        <w:rPr>
          <w:rFonts w:ascii="Times New Roman" w:hAnsi="Times New Roman" w:cs="Times New Roman"/>
          <w:color w:val="000000" w:themeColor="text1"/>
          <w:sz w:val="24"/>
          <w:szCs w:val="24"/>
        </w:rPr>
        <w:t xml:space="preserve"> will get affected. </w:t>
      </w:r>
    </w:p>
    <w:p w:rsidR="00485EE4"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Pathophysiology</w:t>
      </w:r>
    </w:p>
    <w:p w:rsidR="00485EE4"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Osteoarthritis is a common arthropathy and leading caus</w:t>
      </w:r>
      <w:r w:rsidRPr="00571E3E">
        <w:rPr>
          <w:rFonts w:ascii="Times New Roman" w:hAnsi="Times New Roman" w:cs="Times New Roman"/>
          <w:color w:val="000000" w:themeColor="text1"/>
          <w:sz w:val="24"/>
          <w:szCs w:val="24"/>
        </w:rPr>
        <w:t>e of disability and pain among people of old age. Among the adult population, 15% suffer from symptomatic knee pain, especially those 55 years and above. The condition is categorized by the remodeling of bone and the loss of articular cartilage. It is a co</w:t>
      </w:r>
      <w:r w:rsidRPr="00571E3E">
        <w:rPr>
          <w:rFonts w:ascii="Times New Roman" w:hAnsi="Times New Roman" w:cs="Times New Roman"/>
          <w:color w:val="000000" w:themeColor="text1"/>
          <w:sz w:val="24"/>
          <w:szCs w:val="24"/>
        </w:rPr>
        <w:t>ndition acknowledge by its wear and tear feature and occurs as people age. It is known to be a significant disease of the cartilage. Cartilage is a significant tissue with compressive characteristics viscoelastic imparted by the extracellular matrix made o</w:t>
      </w:r>
      <w:r w:rsidRPr="00571E3E">
        <w:rPr>
          <w:rFonts w:ascii="Times New Roman" w:hAnsi="Times New Roman" w:cs="Times New Roman"/>
          <w:color w:val="000000" w:themeColor="text1"/>
          <w:sz w:val="24"/>
          <w:szCs w:val="24"/>
        </w:rPr>
        <w:t>f proteoglycans and collagen II. I</w:t>
      </w:r>
      <w:r w:rsidR="0058653C" w:rsidRPr="00571E3E">
        <w:rPr>
          <w:rFonts w:ascii="Times New Roman" w:hAnsi="Times New Roman" w:cs="Times New Roman"/>
          <w:color w:val="000000" w:themeColor="text1"/>
          <w:sz w:val="24"/>
          <w:szCs w:val="24"/>
        </w:rPr>
        <w:t>n</w:t>
      </w:r>
      <w:r w:rsidRPr="00571E3E">
        <w:rPr>
          <w:rFonts w:ascii="Times New Roman" w:hAnsi="Times New Roman" w:cs="Times New Roman"/>
          <w:color w:val="000000" w:themeColor="text1"/>
          <w:sz w:val="24"/>
          <w:szCs w:val="24"/>
        </w:rPr>
        <w:t xml:space="preserve"> normal conditions, the matrix is subjected to a remodeling process where a low level of synthetic enzyme activities and degradation are balanced, and the volume of cartilage is maintained. However, the </w:t>
      </w:r>
      <w:r w:rsidR="008264F1" w:rsidRPr="00571E3E">
        <w:rPr>
          <w:rFonts w:ascii="Times New Roman" w:hAnsi="Times New Roman" w:cs="Times New Roman"/>
          <w:color w:val="000000" w:themeColor="text1"/>
          <w:sz w:val="24"/>
          <w:szCs w:val="24"/>
        </w:rPr>
        <w:t>over expression</w:t>
      </w:r>
      <w:r w:rsidRPr="00571E3E">
        <w:rPr>
          <w:rFonts w:ascii="Times New Roman" w:hAnsi="Times New Roman" w:cs="Times New Roman"/>
          <w:color w:val="000000" w:themeColor="text1"/>
          <w:sz w:val="24"/>
          <w:szCs w:val="24"/>
        </w:rPr>
        <w:t xml:space="preserve"> of </w:t>
      </w:r>
      <w:r w:rsidRPr="00571E3E">
        <w:rPr>
          <w:rFonts w:ascii="Times New Roman" w:hAnsi="Times New Roman" w:cs="Times New Roman"/>
          <w:color w:val="000000" w:themeColor="text1"/>
          <w:sz w:val="24"/>
          <w:szCs w:val="24"/>
        </w:rPr>
        <w:t xml:space="preserve">matrix-degrading enzymes </w:t>
      </w:r>
      <w:r w:rsidR="001919E5" w:rsidRPr="00571E3E">
        <w:rPr>
          <w:rFonts w:ascii="Times New Roman" w:hAnsi="Times New Roman" w:cs="Times New Roman"/>
          <w:color w:val="000000" w:themeColor="text1"/>
          <w:sz w:val="24"/>
          <w:szCs w:val="24"/>
        </w:rPr>
        <w:t>occurs, which shifts the balance in favor of degradation, resulting in the loss of proteoglycans and collagen in the matrix</w:t>
      </w:r>
      <w:r w:rsidR="0058653C" w:rsidRPr="00571E3E">
        <w:rPr>
          <w:rFonts w:ascii="Times New Roman" w:hAnsi="Times New Roman" w:cs="Times New Roman"/>
          <w:color w:val="000000" w:themeColor="text1"/>
          <w:sz w:val="24"/>
          <w:szCs w:val="24"/>
        </w:rPr>
        <w:t xml:space="preserve"> (Chen et al., </w:t>
      </w:r>
      <w:r w:rsidR="0058653C" w:rsidRPr="00571E3E">
        <w:rPr>
          <w:rFonts w:ascii="Times New Roman" w:hAnsi="Times New Roman" w:cs="Times New Roman"/>
          <w:color w:val="000000" w:themeColor="text1"/>
          <w:sz w:val="24"/>
          <w:szCs w:val="24"/>
        </w:rPr>
        <w:lastRenderedPageBreak/>
        <w:t>2017)</w:t>
      </w:r>
      <w:r w:rsidR="001919E5" w:rsidRPr="00571E3E">
        <w:rPr>
          <w:rFonts w:ascii="Times New Roman" w:hAnsi="Times New Roman" w:cs="Times New Roman"/>
          <w:color w:val="000000" w:themeColor="text1"/>
          <w:sz w:val="24"/>
          <w:szCs w:val="24"/>
        </w:rPr>
        <w:t xml:space="preserve">. In response to the loss, chondrocytes synthesize and proliferates the collagen and proteoglycan molecules. In the process of the disease, there are reparative attempts which are outmatched by the cartilage degradation. Cracking, erosion, and fibrillation occur in the cartilage's superficial layers, which progresses to the deep layers resulting in observable decays. Therefore, osteoarthritis is suggested to be the process of progressive cartilage matrix corrosion, where an ineffectual repair attempt occurs. </w:t>
      </w:r>
      <w:r w:rsidR="00D54643" w:rsidRPr="00571E3E">
        <w:rPr>
          <w:rFonts w:ascii="Times New Roman" w:hAnsi="Times New Roman" w:cs="Times New Roman"/>
          <w:color w:val="000000" w:themeColor="text1"/>
          <w:sz w:val="24"/>
          <w:szCs w:val="24"/>
        </w:rPr>
        <w:t xml:space="preserve">However, some questions have arisen whether the condition is the process of aging cartilage. The discrepancies amid osteoarthritis cartilage and aging cartilage have been provided. For example, in osteoarthritis, collagen II is more predominant; however, it is also found in aging cartilage. The constituents, such as the amount of water in keratin sulfate and chondroitin elements, differ for the two cartilages. The most significant point is that the degradative enzyme activities are increased in osteoarthritis and not in normal aging cartilage. The aspects that influence the degradation of cartilage in osteoarthritis include </w:t>
      </w:r>
      <w:r w:rsidR="00717E5A" w:rsidRPr="00571E3E">
        <w:rPr>
          <w:rFonts w:ascii="Times New Roman" w:hAnsi="Times New Roman" w:cs="Times New Roman"/>
          <w:color w:val="000000" w:themeColor="text1"/>
          <w:sz w:val="24"/>
          <w:szCs w:val="24"/>
        </w:rPr>
        <w:t>gelatinases, stromelysins, and collagenases</w:t>
      </w:r>
      <w:r w:rsidR="00E44E8E" w:rsidRPr="00571E3E">
        <w:rPr>
          <w:rFonts w:ascii="Times New Roman" w:hAnsi="Times New Roman" w:cs="Times New Roman"/>
          <w:color w:val="000000" w:themeColor="text1"/>
          <w:sz w:val="24"/>
          <w:szCs w:val="24"/>
        </w:rPr>
        <w:t xml:space="preserve"> (metalloprotease enzymes)</w:t>
      </w:r>
      <w:r w:rsidR="00717E5A" w:rsidRPr="00571E3E">
        <w:rPr>
          <w:rFonts w:ascii="Times New Roman" w:hAnsi="Times New Roman" w:cs="Times New Roman"/>
          <w:color w:val="000000" w:themeColor="text1"/>
          <w:sz w:val="24"/>
          <w:szCs w:val="24"/>
        </w:rPr>
        <w:t>. The chondrocytes and synovial cells produce these enzymes. I</w:t>
      </w:r>
      <w:r w:rsidR="0058653C" w:rsidRPr="00571E3E">
        <w:rPr>
          <w:rFonts w:ascii="Times New Roman" w:hAnsi="Times New Roman" w:cs="Times New Roman"/>
          <w:color w:val="000000" w:themeColor="text1"/>
          <w:sz w:val="24"/>
          <w:szCs w:val="24"/>
        </w:rPr>
        <w:t xml:space="preserve">n </w:t>
      </w:r>
      <w:r w:rsidR="00717E5A" w:rsidRPr="00571E3E">
        <w:rPr>
          <w:rFonts w:ascii="Times New Roman" w:hAnsi="Times New Roman" w:cs="Times New Roman"/>
          <w:color w:val="000000" w:themeColor="text1"/>
          <w:sz w:val="24"/>
          <w:szCs w:val="24"/>
        </w:rPr>
        <w:t>normal conditions, the production of these enzymes is regulated. They are made as proenzymes, which need cleavage for them to be activated. When they are activated, these enzymes are susceptible to plasma consequent enzymes inhibitors</w:t>
      </w:r>
      <w:r w:rsidR="00E44E8E" w:rsidRPr="00571E3E">
        <w:rPr>
          <w:rFonts w:ascii="Times New Roman" w:hAnsi="Times New Roman" w:cs="Times New Roman"/>
          <w:color w:val="000000" w:themeColor="text1"/>
          <w:sz w:val="24"/>
          <w:szCs w:val="24"/>
        </w:rPr>
        <w:t>. In osteoarthritis, the synthesis of these enzymes is increased, and the inhibitors are overwhelmed, leading to an increase in the cartilage</w:t>
      </w:r>
      <w:r w:rsidR="0058653C" w:rsidRPr="00571E3E">
        <w:rPr>
          <w:rFonts w:ascii="Times New Roman" w:hAnsi="Times New Roman" w:cs="Times New Roman"/>
          <w:color w:val="000000" w:themeColor="text1"/>
          <w:sz w:val="24"/>
          <w:szCs w:val="24"/>
        </w:rPr>
        <w:t xml:space="preserve"> (Mora, Przkora &amp; Cruz-Almeida, 2018)</w:t>
      </w:r>
      <w:r w:rsidR="00E44E8E" w:rsidRPr="00571E3E">
        <w:rPr>
          <w:rFonts w:ascii="Times New Roman" w:hAnsi="Times New Roman" w:cs="Times New Roman"/>
          <w:color w:val="000000" w:themeColor="text1"/>
          <w:sz w:val="24"/>
          <w:szCs w:val="24"/>
        </w:rPr>
        <w:t>. Also, some factors enhance the synthesis of the enzymes responsible for the degradation of cartilages.</w:t>
      </w:r>
    </w:p>
    <w:p w:rsidR="00485EE4" w:rsidRPr="00571E3E" w:rsidRDefault="00E44E8E"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One of the elements is interleukin-1 (IL-1). IL-1 is a cytokine that enhances the synthesis of metalloprotease enzymes by the synovial and chondrocyte cells. IL-1 enhances the suppression of proteoglycans and collagen II, which inhibits the growth factor's change-</w:t>
      </w:r>
      <w:r w:rsidRPr="00571E3E">
        <w:rPr>
          <w:rFonts w:ascii="Times New Roman" w:hAnsi="Times New Roman" w:cs="Times New Roman"/>
          <w:color w:val="000000" w:themeColor="text1"/>
          <w:sz w:val="24"/>
          <w:szCs w:val="24"/>
          <w:shd w:val="clear" w:color="auto" w:fill="FFFFFF"/>
        </w:rPr>
        <w:t>ß</w:t>
      </w:r>
      <w:r w:rsidR="00F3600D" w:rsidRPr="00571E3E">
        <w:rPr>
          <w:rFonts w:ascii="Times New Roman" w:hAnsi="Times New Roman" w:cs="Times New Roman"/>
          <w:color w:val="000000" w:themeColor="text1"/>
          <w:sz w:val="24"/>
          <w:szCs w:val="24"/>
          <w:shd w:val="clear" w:color="auto" w:fill="FFFFFF"/>
        </w:rPr>
        <w:t xml:space="preserve"> influenced by the proliferation of chondrocytes. IL-1 does strengthen not only cartilage degradation but also inhibits the repair of cartilage in osteoarthritis. More so, IL-1 controls </w:t>
      </w:r>
      <w:r w:rsidR="00F3600D" w:rsidRPr="00571E3E">
        <w:rPr>
          <w:rFonts w:ascii="Times New Roman" w:hAnsi="Times New Roman" w:cs="Times New Roman"/>
          <w:color w:val="000000" w:themeColor="text1"/>
          <w:sz w:val="24"/>
          <w:szCs w:val="24"/>
          <w:shd w:val="clear" w:color="auto" w:fill="FFFFFF"/>
        </w:rPr>
        <w:lastRenderedPageBreak/>
        <w:t>nitric oxide production, synthesis of prostaglandins, and apoptosis, which leads to cartilage deterioration. The risk factors associated with osteoarthritis include multifactorial causes that do not have any underlying cause and secondary factors that involve connective tissue diseases, infiltrative conditions, and trauma. Primary osteoarthritis is influenced by manual labor, female gender, advancing age, and obesity. The symptoms presented by the disease worsens with time. Clinical characteristics include stiffness and pain on joints, reduced range of movement, and deformity.</w:t>
      </w:r>
    </w:p>
    <w:p w:rsidR="005F40AA"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Differential Diagnoses</w:t>
      </w:r>
    </w:p>
    <w:p w:rsidR="005F40AA" w:rsidRPr="00571E3E" w:rsidRDefault="00A557E0" w:rsidP="00571E3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Fracture- Following the knee injury mechanism, the fracture is a possible diagnosis for the presented symptom of knee pain. When there is a fracture of the bone connected to the knee, such as the femur, knee pain is an associated symptom. The salter-Harris</w:t>
      </w:r>
      <w:r w:rsidRPr="00571E3E">
        <w:rPr>
          <w:rFonts w:ascii="Times New Roman" w:hAnsi="Times New Roman" w:cs="Times New Roman"/>
          <w:color w:val="000000" w:themeColor="text1"/>
          <w:sz w:val="24"/>
          <w:szCs w:val="24"/>
        </w:rPr>
        <w:t xml:space="preserve"> fracture of the growth plate should be put into consideration in this case. This fracture occurs in the </w:t>
      </w:r>
      <w:r w:rsidR="00110844" w:rsidRPr="00571E3E">
        <w:rPr>
          <w:rFonts w:ascii="Times New Roman" w:hAnsi="Times New Roman" w:cs="Times New Roman"/>
          <w:color w:val="000000" w:themeColor="text1"/>
          <w:sz w:val="24"/>
          <w:szCs w:val="24"/>
        </w:rPr>
        <w:t>epiphyseal plate, which is a location for calcification.</w:t>
      </w:r>
      <w:r w:rsidRPr="00571E3E">
        <w:rPr>
          <w:rFonts w:ascii="Times New Roman" w:hAnsi="Times New Roman" w:cs="Times New Roman"/>
          <w:color w:val="000000" w:themeColor="text1"/>
          <w:sz w:val="24"/>
          <w:szCs w:val="24"/>
        </w:rPr>
        <w:t xml:space="preserve"> However, the patient denies injury, which is a factor that rules out a fracture. More so, the </w:t>
      </w:r>
      <w:r w:rsidRPr="00571E3E">
        <w:rPr>
          <w:rFonts w:ascii="Times New Roman" w:hAnsi="Times New Roman" w:cs="Times New Roman"/>
          <w:color w:val="000000" w:themeColor="text1"/>
          <w:sz w:val="24"/>
          <w:szCs w:val="24"/>
        </w:rPr>
        <w:t xml:space="preserve">results of radiographs and other imaging studies will ensure that this condition is ruled out.  </w:t>
      </w:r>
    </w:p>
    <w:p w:rsidR="00110844" w:rsidRPr="00571E3E" w:rsidRDefault="00A557E0" w:rsidP="00571E3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Hip disorders- some of the hip disorders present with knee pain. One of the diseases is dysplasia of the hip. Hip dysplasia is a condition that occurs when the</w:t>
      </w:r>
      <w:r w:rsidRPr="00571E3E">
        <w:rPr>
          <w:rFonts w:ascii="Times New Roman" w:hAnsi="Times New Roman" w:cs="Times New Roman"/>
          <w:color w:val="000000" w:themeColor="text1"/>
          <w:sz w:val="24"/>
          <w:szCs w:val="24"/>
        </w:rPr>
        <w:t xml:space="preserve"> socket of the hip does not cover the ball completely</w:t>
      </w:r>
      <w:r w:rsidR="0058653C" w:rsidRPr="00571E3E">
        <w:rPr>
          <w:rFonts w:ascii="Times New Roman" w:hAnsi="Times New Roman" w:cs="Times New Roman"/>
          <w:color w:val="000000" w:themeColor="text1"/>
          <w:sz w:val="24"/>
          <w:szCs w:val="24"/>
        </w:rPr>
        <w:t xml:space="preserve"> (</w:t>
      </w:r>
      <w:r w:rsidR="00897910" w:rsidRPr="00571E3E">
        <w:rPr>
          <w:rFonts w:ascii="Times New Roman" w:hAnsi="Times New Roman" w:cs="Times New Roman"/>
          <w:color w:val="000000" w:themeColor="text1"/>
          <w:sz w:val="24"/>
          <w:szCs w:val="24"/>
        </w:rPr>
        <w:t>Lee et al., 2018)</w:t>
      </w:r>
      <w:r w:rsidRPr="00571E3E">
        <w:rPr>
          <w:rFonts w:ascii="Times New Roman" w:hAnsi="Times New Roman" w:cs="Times New Roman"/>
          <w:color w:val="000000" w:themeColor="text1"/>
          <w:sz w:val="24"/>
          <w:szCs w:val="24"/>
        </w:rPr>
        <w:t>. This condition leads to dislocation of the hip bone, which leads to knee pain. Most people with this condition are born with it. The condition is ruled out in the patient's case beca</w:t>
      </w:r>
      <w:r w:rsidRPr="00571E3E">
        <w:rPr>
          <w:rFonts w:ascii="Times New Roman" w:hAnsi="Times New Roman" w:cs="Times New Roman"/>
          <w:color w:val="000000" w:themeColor="text1"/>
          <w:sz w:val="24"/>
          <w:szCs w:val="24"/>
        </w:rPr>
        <w:t xml:space="preserve">use her medical History does not reveal this condition. Another disorder of the hip that can be evaluated is septic arthritis of the hip. The symptoms associated with this condition include fever and red, warm, and swollen joints. The disease is caused </w:t>
      </w:r>
      <w:r w:rsidRPr="00571E3E">
        <w:rPr>
          <w:rFonts w:ascii="Times New Roman" w:hAnsi="Times New Roman" w:cs="Times New Roman"/>
          <w:color w:val="000000" w:themeColor="text1"/>
          <w:sz w:val="24"/>
          <w:szCs w:val="24"/>
        </w:rPr>
        <w:lastRenderedPageBreak/>
        <w:t xml:space="preserve">by </w:t>
      </w:r>
      <w:r w:rsidRPr="00571E3E">
        <w:rPr>
          <w:rFonts w:ascii="Times New Roman" w:hAnsi="Times New Roman" w:cs="Times New Roman"/>
          <w:color w:val="000000" w:themeColor="text1"/>
          <w:sz w:val="24"/>
          <w:szCs w:val="24"/>
        </w:rPr>
        <w:t>the presence of bacterial, fungal, or viral infections. The lack of signs of infection, such as fever, rules out this condition's existence in the patient.</w:t>
      </w:r>
    </w:p>
    <w:p w:rsidR="007E088C" w:rsidRPr="00571E3E" w:rsidRDefault="00A557E0" w:rsidP="00571E3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The osteochondral defect involves the damage of the underlying bone</w:t>
      </w:r>
      <w:r w:rsidR="00C20CA2" w:rsidRPr="00571E3E">
        <w:rPr>
          <w:rFonts w:ascii="Times New Roman" w:hAnsi="Times New Roman" w:cs="Times New Roman"/>
          <w:color w:val="000000" w:themeColor="text1"/>
          <w:sz w:val="24"/>
          <w:szCs w:val="24"/>
        </w:rPr>
        <w:t xml:space="preserve"> or cartilage, which may result from the knee's acute injury. The disorder is linked to the joint's dull ache, together with the clicking of the knee</w:t>
      </w:r>
      <w:r w:rsidR="00897910" w:rsidRPr="00571E3E">
        <w:rPr>
          <w:rFonts w:ascii="Times New Roman" w:hAnsi="Times New Roman" w:cs="Times New Roman"/>
          <w:color w:val="000000" w:themeColor="text1"/>
          <w:sz w:val="24"/>
          <w:szCs w:val="24"/>
        </w:rPr>
        <w:t xml:space="preserve"> (Durur-Subasi, Durur-Karakaya &amp; Yildirim, 2015)</w:t>
      </w:r>
      <w:r w:rsidR="00C20CA2" w:rsidRPr="00571E3E">
        <w:rPr>
          <w:rFonts w:ascii="Times New Roman" w:hAnsi="Times New Roman" w:cs="Times New Roman"/>
          <w:color w:val="000000" w:themeColor="text1"/>
          <w:sz w:val="24"/>
          <w:szCs w:val="24"/>
        </w:rPr>
        <w:t>. The presence of the knee joint's dull pain suggests this diagnosis for the patient; however, lack of History of injury excludes this condition as the actual diagnosis for the patient.</w:t>
      </w:r>
    </w:p>
    <w:p w:rsidR="00A2481B"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Diagnosis</w:t>
      </w:r>
    </w:p>
    <w:p w:rsidR="00A2481B"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Various diagnostic procedures will be carried out to confirm the diagnosis of the patient. The diagnostic procedures that will be involved include</w:t>
      </w:r>
      <w:r w:rsidRPr="00571E3E">
        <w:rPr>
          <w:rFonts w:ascii="Times New Roman" w:hAnsi="Times New Roman" w:cs="Times New Roman"/>
          <w:color w:val="000000" w:themeColor="text1"/>
          <w:sz w:val="24"/>
          <w:szCs w:val="24"/>
        </w:rPr>
        <w:t>:</w:t>
      </w:r>
    </w:p>
    <w:p w:rsidR="00A2481B" w:rsidRPr="00571E3E" w:rsidRDefault="00A557E0" w:rsidP="00571E3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Joint aspiration (arthrocentesis)- joint aspiration involves the procedure of withdrawing the synovial fluid from the knee joint and carrying out a lab test. The investigation enhances the evaluation of crystals and infection in the liquid</w:t>
      </w:r>
      <w:r w:rsidR="00897910" w:rsidRPr="00571E3E">
        <w:rPr>
          <w:rFonts w:ascii="Times New Roman" w:hAnsi="Times New Roman" w:cs="Times New Roman"/>
          <w:color w:val="000000" w:themeColor="text1"/>
          <w:sz w:val="24"/>
          <w:szCs w:val="24"/>
        </w:rPr>
        <w:t xml:space="preserve"> (Chinese Orthopedic Association, 2010)</w:t>
      </w:r>
      <w:r w:rsidRPr="00571E3E">
        <w:rPr>
          <w:rFonts w:ascii="Times New Roman" w:hAnsi="Times New Roman" w:cs="Times New Roman"/>
          <w:color w:val="000000" w:themeColor="text1"/>
          <w:sz w:val="24"/>
          <w:szCs w:val="24"/>
        </w:rPr>
        <w:t>. The results provided by joint aspiration strengthen the exclusion of other medical conditions or different categories of arthritis in the patient. More so, this procedure is significant to relieve joint swelling.</w:t>
      </w:r>
    </w:p>
    <w:p w:rsidR="00A2481B" w:rsidRPr="00571E3E" w:rsidRDefault="00A557E0" w:rsidP="00571E3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X-ray- this is on</w:t>
      </w:r>
      <w:r w:rsidRPr="00571E3E">
        <w:rPr>
          <w:rFonts w:ascii="Times New Roman" w:hAnsi="Times New Roman" w:cs="Times New Roman"/>
          <w:color w:val="000000" w:themeColor="text1"/>
          <w:sz w:val="24"/>
          <w:szCs w:val="24"/>
        </w:rPr>
        <w:t>e of the procedures that are significant for any musculoskeletal condition. X-rays reveal the damages or injury to the bone, which is caused by the presence of osteoarthritis.</w:t>
      </w:r>
    </w:p>
    <w:p w:rsidR="00A2481B" w:rsidRPr="00571E3E" w:rsidRDefault="00A557E0" w:rsidP="00571E3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MRI (magnetic resonance test)- this imaging study provides a better view and eva</w:t>
      </w:r>
      <w:r w:rsidRPr="00571E3E">
        <w:rPr>
          <w:rFonts w:ascii="Times New Roman" w:hAnsi="Times New Roman" w:cs="Times New Roman"/>
          <w:color w:val="000000" w:themeColor="text1"/>
          <w:sz w:val="24"/>
          <w:szCs w:val="24"/>
        </w:rPr>
        <w:t>luation of the parts of the knee joint and cartilage to assess any present abnormalities.</w:t>
      </w:r>
    </w:p>
    <w:p w:rsidR="004D1383" w:rsidRPr="00571E3E" w:rsidRDefault="00A557E0" w:rsidP="00571E3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Blood analysis- despite the lack of a specific blood test to assess the presence of osteoarthritis, the test can be done to rule out other conditions such as </w:t>
      </w:r>
      <w:r w:rsidRPr="00571E3E">
        <w:rPr>
          <w:rFonts w:ascii="Times New Roman" w:hAnsi="Times New Roman" w:cs="Times New Roman"/>
          <w:color w:val="000000" w:themeColor="text1"/>
          <w:sz w:val="24"/>
          <w:szCs w:val="24"/>
        </w:rPr>
        <w:lastRenderedPageBreak/>
        <w:t>rheumato</w:t>
      </w:r>
      <w:r w:rsidRPr="00571E3E">
        <w:rPr>
          <w:rFonts w:ascii="Times New Roman" w:hAnsi="Times New Roman" w:cs="Times New Roman"/>
          <w:color w:val="000000" w:themeColor="text1"/>
          <w:sz w:val="24"/>
          <w:szCs w:val="24"/>
        </w:rPr>
        <w:t>id arthritis. Also, blood tests can reveal any infections in the body systems by analyzing the number of white blood cells.</w:t>
      </w:r>
    </w:p>
    <w:p w:rsidR="004D1383" w:rsidRPr="00571E3E" w:rsidRDefault="00A557E0" w:rsidP="00571E3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Arthroscopy- is a surgical procedure where a tube is inserted into the knee joint space to analyze abnormalities. The process is sig</w:t>
      </w:r>
      <w:r w:rsidRPr="00571E3E">
        <w:rPr>
          <w:rFonts w:ascii="Times New Roman" w:hAnsi="Times New Roman" w:cs="Times New Roman"/>
          <w:color w:val="000000" w:themeColor="text1"/>
          <w:sz w:val="24"/>
          <w:szCs w:val="24"/>
        </w:rPr>
        <w:t>nificant in the detection of the anomalies related to the ligaments and cartilages.</w:t>
      </w:r>
    </w:p>
    <w:p w:rsidR="007A7CEB"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Medical Management</w:t>
      </w:r>
    </w:p>
    <w:p w:rsidR="00DA16D8"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The medical management of the patient will involve the use of pain relievers. The use of NSAIDs is the significance for the management of knee pain in </w:t>
      </w:r>
      <w:r w:rsidRPr="00571E3E">
        <w:rPr>
          <w:rFonts w:ascii="Times New Roman" w:hAnsi="Times New Roman" w:cs="Times New Roman"/>
          <w:color w:val="000000" w:themeColor="text1"/>
          <w:sz w:val="24"/>
          <w:szCs w:val="24"/>
        </w:rPr>
        <w:t>the patient. Topical Voltaren (diclofenac gel) 1% will be provided for the patient to be used three times per day. The drug works through the inhibition of the synthesis of prostaglandins</w:t>
      </w:r>
      <w:r w:rsidR="00897910" w:rsidRPr="00571E3E">
        <w:rPr>
          <w:rFonts w:ascii="Times New Roman" w:hAnsi="Times New Roman" w:cs="Times New Roman"/>
          <w:color w:val="000000" w:themeColor="text1"/>
          <w:sz w:val="24"/>
          <w:szCs w:val="24"/>
        </w:rPr>
        <w:t xml:space="preserve"> (Yu &amp; Hunter, 2015)</w:t>
      </w:r>
      <w:r w:rsidRPr="00571E3E">
        <w:rPr>
          <w:rFonts w:ascii="Times New Roman" w:hAnsi="Times New Roman" w:cs="Times New Roman"/>
          <w:color w:val="000000" w:themeColor="text1"/>
          <w:sz w:val="24"/>
          <w:szCs w:val="24"/>
        </w:rPr>
        <w:t>. Prostaglandins enhance the sensitization of ner</w:t>
      </w:r>
      <w:r w:rsidRPr="00571E3E">
        <w:rPr>
          <w:rFonts w:ascii="Times New Roman" w:hAnsi="Times New Roman" w:cs="Times New Roman"/>
          <w:color w:val="000000" w:themeColor="text1"/>
          <w:sz w:val="24"/>
          <w:szCs w:val="24"/>
        </w:rPr>
        <w:t>ve endings and strengthen the action of bradykinin, which increases pain. The inhibition of prostaglandin ensures that the patient does not feel pain in the knee joint due to the disease process. Also, oral meloxicam 7.5mg OD will be administered to the pa</w:t>
      </w:r>
      <w:r w:rsidRPr="00571E3E">
        <w:rPr>
          <w:rFonts w:ascii="Times New Roman" w:hAnsi="Times New Roman" w:cs="Times New Roman"/>
          <w:color w:val="000000" w:themeColor="text1"/>
          <w:sz w:val="24"/>
          <w:szCs w:val="24"/>
        </w:rPr>
        <w:t>tient to ensure that pain is managed. Meloxicam is an NSAID medication that has a similar mechanism of action to the diclofenac gel. The use of the two drugs ensures that pain is managed systemically and locally. Because pain is the primary chief complaint</w:t>
      </w:r>
      <w:r w:rsidRPr="00571E3E">
        <w:rPr>
          <w:rFonts w:ascii="Times New Roman" w:hAnsi="Times New Roman" w:cs="Times New Roman"/>
          <w:color w:val="000000" w:themeColor="text1"/>
          <w:sz w:val="24"/>
          <w:szCs w:val="24"/>
        </w:rPr>
        <w:t xml:space="preserve"> in patients with osteoarthritis, the management is based on pain relief, which enhances comfort in the patient. The patient will be provided with a proton pump inhibitor (Nexium/esomeprazole 40mg) because of the presence of a soft, distended abdomen. The </w:t>
      </w:r>
      <w:r w:rsidRPr="00571E3E">
        <w:rPr>
          <w:rFonts w:ascii="Times New Roman" w:hAnsi="Times New Roman" w:cs="Times New Roman"/>
          <w:color w:val="000000" w:themeColor="text1"/>
          <w:sz w:val="24"/>
          <w:szCs w:val="24"/>
        </w:rPr>
        <w:t>patient presents in the History that she has a history of gastroesophageal reflux disease (GERD), which needs to be managed. Esomeprazole enhances the suppression of gastric acid production through binding to sulfhydryl cysteines</w:t>
      </w:r>
      <w:r w:rsidR="00897910" w:rsidRPr="00571E3E">
        <w:rPr>
          <w:rFonts w:ascii="Times New Roman" w:hAnsi="Times New Roman" w:cs="Times New Roman"/>
          <w:color w:val="000000" w:themeColor="text1"/>
          <w:sz w:val="24"/>
          <w:szCs w:val="24"/>
        </w:rPr>
        <w:t xml:space="preserve"> (MacFarlane, 2018)</w:t>
      </w:r>
      <w:r w:rsidRPr="00571E3E">
        <w:rPr>
          <w:rFonts w:ascii="Times New Roman" w:hAnsi="Times New Roman" w:cs="Times New Roman"/>
          <w:color w:val="000000" w:themeColor="text1"/>
          <w:sz w:val="24"/>
          <w:szCs w:val="24"/>
        </w:rPr>
        <w:t>. The im</w:t>
      </w:r>
      <w:r w:rsidRPr="00571E3E">
        <w:rPr>
          <w:rFonts w:ascii="Times New Roman" w:hAnsi="Times New Roman" w:cs="Times New Roman"/>
          <w:color w:val="000000" w:themeColor="text1"/>
          <w:sz w:val="24"/>
          <w:szCs w:val="24"/>
        </w:rPr>
        <w:t>pact of the binding is the inhibition of the production of gastric acids.</w:t>
      </w:r>
    </w:p>
    <w:p w:rsidR="00DA16D8"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Other Interventions</w:t>
      </w:r>
    </w:p>
    <w:p w:rsidR="00884F0B"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lastRenderedPageBreak/>
        <w:t xml:space="preserve">Apart from medications, the patient needs to be managed through therapy. Physiotherapy is very significant in improving the functioning of the patient. Exercises </w:t>
      </w:r>
      <w:r w:rsidRPr="00571E3E">
        <w:rPr>
          <w:rFonts w:ascii="Times New Roman" w:hAnsi="Times New Roman" w:cs="Times New Roman"/>
          <w:color w:val="000000" w:themeColor="text1"/>
          <w:sz w:val="24"/>
          <w:szCs w:val="24"/>
        </w:rPr>
        <w:t>are required to strengthen the patient's muscles and enhance the range of motion of the knee joint. Occupational therapy is significant to help the patient realize other ways of performing daily activities without straining the joint</w:t>
      </w:r>
      <w:r w:rsidR="00897910" w:rsidRPr="00571E3E">
        <w:rPr>
          <w:rFonts w:ascii="Times New Roman" w:hAnsi="Times New Roman" w:cs="Times New Roman"/>
          <w:color w:val="000000" w:themeColor="text1"/>
          <w:sz w:val="24"/>
          <w:szCs w:val="24"/>
        </w:rPr>
        <w:t xml:space="preserve"> (Yu &amp; Hunter, 2015)</w:t>
      </w:r>
      <w:r w:rsidRPr="00571E3E">
        <w:rPr>
          <w:rFonts w:ascii="Times New Roman" w:hAnsi="Times New Roman" w:cs="Times New Roman"/>
          <w:color w:val="000000" w:themeColor="text1"/>
          <w:sz w:val="24"/>
          <w:szCs w:val="24"/>
        </w:rPr>
        <w:t>. S</w:t>
      </w:r>
      <w:r w:rsidRPr="00571E3E">
        <w:rPr>
          <w:rFonts w:ascii="Times New Roman" w:hAnsi="Times New Roman" w:cs="Times New Roman"/>
          <w:color w:val="000000" w:themeColor="text1"/>
          <w:sz w:val="24"/>
          <w:szCs w:val="24"/>
        </w:rPr>
        <w:t xml:space="preserve">urgical procedures such as lubrication and cortisone procedures will enhance pain relief for the patient. </w:t>
      </w:r>
    </w:p>
    <w:p w:rsidR="00DA16D8"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Prognosis</w:t>
      </w:r>
    </w:p>
    <w:p w:rsidR="00DA16D8"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 xml:space="preserve">The prognosis of individuals who suffer from osteoarthritis depends on the affected joint and whether symptoms lead to dysfunction. </w:t>
      </w:r>
      <w:r w:rsidR="00683E7A" w:rsidRPr="00571E3E">
        <w:rPr>
          <w:rFonts w:ascii="Times New Roman" w:hAnsi="Times New Roman" w:cs="Times New Roman"/>
          <w:color w:val="000000" w:themeColor="text1"/>
          <w:sz w:val="24"/>
          <w:szCs w:val="24"/>
        </w:rPr>
        <w:t>Some of the patients are affected by the disease to the point of disability, while others are not. Joint replacement surgery is acknowledged to have the best long-term outcome. However, osteoarthritis does not lead to complications of the internal organs or abnormalities. For the patient, the best work is expected because of the early diagnosis and treatment. The patient is affected by a single joint, which, when treated effectively, will enhance good recovery.</w:t>
      </w:r>
    </w:p>
    <w:p w:rsidR="00E739A5"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Patient Education</w:t>
      </w:r>
    </w:p>
    <w:p w:rsidR="00E739A5"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The patient should be provided with</w:t>
      </w:r>
      <w:r w:rsidRPr="00571E3E">
        <w:rPr>
          <w:rFonts w:ascii="Times New Roman" w:hAnsi="Times New Roman" w:cs="Times New Roman"/>
          <w:color w:val="000000" w:themeColor="text1"/>
          <w:sz w:val="24"/>
          <w:szCs w:val="24"/>
        </w:rPr>
        <w:t xml:space="preserve"> information concerning the significance of adherence to </w:t>
      </w:r>
      <w:r w:rsidR="00C14724" w:rsidRPr="00571E3E">
        <w:rPr>
          <w:rFonts w:ascii="Times New Roman" w:hAnsi="Times New Roman" w:cs="Times New Roman"/>
          <w:color w:val="000000" w:themeColor="text1"/>
          <w:sz w:val="24"/>
          <w:szCs w:val="24"/>
        </w:rPr>
        <w:t>medicationsto ensure that the treatment is effective. The patient should be encouraged to avoid pulling and pushing strains, which can lead to further injuries of the knee joint</w:t>
      </w:r>
      <w:r w:rsidR="00897910" w:rsidRPr="00571E3E">
        <w:rPr>
          <w:rFonts w:ascii="Times New Roman" w:hAnsi="Times New Roman" w:cs="Times New Roman"/>
          <w:color w:val="000000" w:themeColor="text1"/>
          <w:sz w:val="24"/>
          <w:szCs w:val="24"/>
        </w:rPr>
        <w:t xml:space="preserve"> (Mora, Przkora &amp; Cruz-Almeida, 2018)</w:t>
      </w:r>
      <w:r w:rsidR="00C14724" w:rsidRPr="00571E3E">
        <w:rPr>
          <w:rFonts w:ascii="Times New Roman" w:hAnsi="Times New Roman" w:cs="Times New Roman"/>
          <w:color w:val="000000" w:themeColor="text1"/>
          <w:sz w:val="24"/>
          <w:szCs w:val="24"/>
        </w:rPr>
        <w:t>. The patient should be encouraged to take rest to enhance recovery. The patient should be advised to call the health care Centre through 911 when complications occur.</w:t>
      </w:r>
    </w:p>
    <w:p w:rsidR="00C14724"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t>Follow-Up</w:t>
      </w:r>
    </w:p>
    <w:p w:rsidR="00C14724" w:rsidRPr="00571E3E" w:rsidRDefault="00A557E0" w:rsidP="00571E3E">
      <w:pPr>
        <w:spacing w:after="0" w:line="480" w:lineRule="auto"/>
        <w:ind w:firstLine="851"/>
        <w:rPr>
          <w:rFonts w:ascii="Times New Roman" w:hAnsi="Times New Roman" w:cs="Times New Roman"/>
          <w:color w:val="000000" w:themeColor="text1"/>
          <w:sz w:val="24"/>
          <w:szCs w:val="24"/>
        </w:rPr>
      </w:pPr>
      <w:r w:rsidRPr="00571E3E">
        <w:rPr>
          <w:rFonts w:ascii="Times New Roman" w:hAnsi="Times New Roman" w:cs="Times New Roman"/>
          <w:color w:val="000000" w:themeColor="text1"/>
          <w:sz w:val="24"/>
          <w:szCs w:val="24"/>
        </w:rPr>
        <w:t>There is a need to ensure that follow-up is done to enhance</w:t>
      </w:r>
      <w:r w:rsidRPr="00571E3E">
        <w:rPr>
          <w:rFonts w:ascii="Times New Roman" w:hAnsi="Times New Roman" w:cs="Times New Roman"/>
          <w:color w:val="000000" w:themeColor="text1"/>
          <w:sz w:val="24"/>
          <w:szCs w:val="24"/>
        </w:rPr>
        <w:t xml:space="preserve"> positive outcomes and prevent complications from the disease. The patient should be referred to the orthopedic specialist, where clinical assessments will be done frequently. The X-ray results will provide </w:t>
      </w:r>
      <w:r w:rsidRPr="00571E3E">
        <w:rPr>
          <w:rFonts w:ascii="Times New Roman" w:hAnsi="Times New Roman" w:cs="Times New Roman"/>
          <w:color w:val="000000" w:themeColor="text1"/>
          <w:sz w:val="24"/>
          <w:szCs w:val="24"/>
        </w:rPr>
        <w:lastRenderedPageBreak/>
        <w:t>a leeway for consultation with the orthopedic spe</w:t>
      </w:r>
      <w:r w:rsidRPr="00571E3E">
        <w:rPr>
          <w:rFonts w:ascii="Times New Roman" w:hAnsi="Times New Roman" w:cs="Times New Roman"/>
          <w:color w:val="000000" w:themeColor="text1"/>
          <w:sz w:val="24"/>
          <w:szCs w:val="24"/>
        </w:rPr>
        <w:t xml:space="preserve">cialist. The patient will be provided with periodic visiting schedules, which will ensure that the assessment of her performance is done effectively.  </w:t>
      </w: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Default="00571E3E" w:rsidP="00571E3E">
      <w:pPr>
        <w:spacing w:after="0" w:line="480" w:lineRule="auto"/>
        <w:ind w:firstLine="851"/>
        <w:rPr>
          <w:rFonts w:ascii="Times New Roman" w:hAnsi="Times New Roman" w:cs="Times New Roman"/>
          <w:b/>
          <w:bCs/>
          <w:color w:val="000000" w:themeColor="text1"/>
          <w:sz w:val="24"/>
          <w:szCs w:val="24"/>
        </w:rPr>
      </w:pPr>
    </w:p>
    <w:p w:rsidR="00571E3E" w:rsidRPr="00571E3E" w:rsidRDefault="00A557E0" w:rsidP="00571E3E">
      <w:pPr>
        <w:spacing w:after="0" w:line="480" w:lineRule="auto"/>
        <w:ind w:firstLine="851"/>
        <w:jc w:val="center"/>
        <w:rPr>
          <w:rFonts w:ascii="Times New Roman" w:hAnsi="Times New Roman" w:cs="Times New Roman"/>
          <w:b/>
          <w:bCs/>
          <w:color w:val="000000" w:themeColor="text1"/>
          <w:sz w:val="24"/>
          <w:szCs w:val="24"/>
        </w:rPr>
      </w:pPr>
      <w:r w:rsidRPr="00571E3E">
        <w:rPr>
          <w:rFonts w:ascii="Times New Roman" w:hAnsi="Times New Roman" w:cs="Times New Roman"/>
          <w:b/>
          <w:bCs/>
          <w:color w:val="000000" w:themeColor="text1"/>
          <w:sz w:val="24"/>
          <w:szCs w:val="24"/>
        </w:rPr>
        <w:lastRenderedPageBreak/>
        <w:t>References</w:t>
      </w:r>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Chen, D., Shen, J., Zhao, W., Wang, T., Han, L., Hamilton, J. L., &amp;</w:t>
      </w:r>
      <w:r w:rsidRPr="00571E3E">
        <w:rPr>
          <w:rFonts w:ascii="Times New Roman" w:hAnsi="Times New Roman" w:cs="Times New Roman"/>
          <w:color w:val="000000" w:themeColor="text1"/>
          <w:sz w:val="24"/>
          <w:szCs w:val="24"/>
          <w:shd w:val="clear" w:color="auto" w:fill="FFFFFF"/>
        </w:rPr>
        <w:t xml:space="preserve"> Im, H. J. (2017). Osteoarthritis: toward a comprehensive understanding of the pathological mechanism. </w:t>
      </w:r>
      <w:r w:rsidRPr="00571E3E">
        <w:rPr>
          <w:rFonts w:ascii="Times New Roman" w:hAnsi="Times New Roman" w:cs="Times New Roman"/>
          <w:i/>
          <w:iCs/>
          <w:color w:val="000000" w:themeColor="text1"/>
          <w:sz w:val="24"/>
          <w:szCs w:val="24"/>
          <w:shd w:val="clear" w:color="auto" w:fill="FFFFFF"/>
        </w:rPr>
        <w:t>Bone Research</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5</w:t>
      </w:r>
      <w:r w:rsidRPr="00571E3E">
        <w:rPr>
          <w:rFonts w:ascii="Times New Roman" w:hAnsi="Times New Roman" w:cs="Times New Roman"/>
          <w:color w:val="000000" w:themeColor="text1"/>
          <w:sz w:val="24"/>
          <w:szCs w:val="24"/>
          <w:shd w:val="clear" w:color="auto" w:fill="FFFFFF"/>
        </w:rPr>
        <w:t xml:space="preserve">, 16044. </w:t>
      </w:r>
      <w:hyperlink r:id="rId7" w:history="1">
        <w:r w:rsidRPr="00571E3E">
          <w:rPr>
            <w:rStyle w:val="Hyperlink"/>
            <w:rFonts w:ascii="Times New Roman" w:hAnsi="Times New Roman" w:cs="Times New Roman"/>
            <w:color w:val="000000" w:themeColor="text1"/>
            <w:sz w:val="24"/>
            <w:szCs w:val="24"/>
            <w:u w:val="none"/>
            <w:shd w:val="clear" w:color="auto" w:fill="FFFFFF"/>
          </w:rPr>
          <w:t>https://doi.org/10.1038/boneres.2016.44</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 xml:space="preserve">Chinese Orthopaedic Association </w:t>
      </w:r>
      <w:r w:rsidRPr="00571E3E">
        <w:rPr>
          <w:rFonts w:ascii="Times New Roman" w:hAnsi="Times New Roman" w:cs="Times New Roman"/>
          <w:color w:val="000000" w:themeColor="text1"/>
          <w:sz w:val="24"/>
          <w:szCs w:val="24"/>
          <w:shd w:val="clear" w:color="auto" w:fill="FFFFFF"/>
        </w:rPr>
        <w:t>(2010). Diagnosis and treatment of osteoarthritis. </w:t>
      </w:r>
      <w:r w:rsidRPr="00571E3E">
        <w:rPr>
          <w:rFonts w:ascii="Times New Roman" w:hAnsi="Times New Roman" w:cs="Times New Roman"/>
          <w:i/>
          <w:iCs/>
          <w:color w:val="000000" w:themeColor="text1"/>
          <w:sz w:val="24"/>
          <w:szCs w:val="24"/>
          <w:shd w:val="clear" w:color="auto" w:fill="FFFFFF"/>
        </w:rPr>
        <w:t>Orthopedic surgery</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2</w:t>
      </w:r>
      <w:r w:rsidRPr="00571E3E">
        <w:rPr>
          <w:rFonts w:ascii="Times New Roman" w:hAnsi="Times New Roman" w:cs="Times New Roman"/>
          <w:color w:val="000000" w:themeColor="text1"/>
          <w:sz w:val="24"/>
          <w:szCs w:val="24"/>
          <w:shd w:val="clear" w:color="auto" w:fill="FFFFFF"/>
        </w:rPr>
        <w:t xml:space="preserve">(1), 1–6. </w:t>
      </w:r>
      <w:hyperlink r:id="rId8" w:history="1">
        <w:r w:rsidRPr="00571E3E">
          <w:rPr>
            <w:rStyle w:val="Hyperlink"/>
            <w:rFonts w:ascii="Times New Roman" w:hAnsi="Times New Roman" w:cs="Times New Roman"/>
            <w:color w:val="000000" w:themeColor="text1"/>
            <w:sz w:val="24"/>
            <w:szCs w:val="24"/>
            <w:u w:val="none"/>
            <w:shd w:val="clear" w:color="auto" w:fill="FFFFFF"/>
          </w:rPr>
          <w:t>https://doi.org/10.1111/j.1757-7861.2009.00055.x</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Durur-Subasi, I., Durur-Karakaya, A., &amp; Yildirim, O. S. (2015)</w:t>
      </w:r>
      <w:r w:rsidRPr="00571E3E">
        <w:rPr>
          <w:rFonts w:ascii="Times New Roman" w:hAnsi="Times New Roman" w:cs="Times New Roman"/>
          <w:color w:val="000000" w:themeColor="text1"/>
          <w:sz w:val="24"/>
          <w:szCs w:val="24"/>
          <w:shd w:val="clear" w:color="auto" w:fill="FFFFFF"/>
        </w:rPr>
        <w:t>. Osteochondral Lesions of Major Joints. </w:t>
      </w:r>
      <w:r w:rsidRPr="00571E3E">
        <w:rPr>
          <w:rFonts w:ascii="Times New Roman" w:hAnsi="Times New Roman" w:cs="Times New Roman"/>
          <w:i/>
          <w:iCs/>
          <w:color w:val="000000" w:themeColor="text1"/>
          <w:sz w:val="24"/>
          <w:szCs w:val="24"/>
          <w:shd w:val="clear" w:color="auto" w:fill="FFFFFF"/>
        </w:rPr>
        <w:t>The Eurasian journal of medicine</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47</w:t>
      </w:r>
      <w:r w:rsidRPr="00571E3E">
        <w:rPr>
          <w:rFonts w:ascii="Times New Roman" w:hAnsi="Times New Roman" w:cs="Times New Roman"/>
          <w:color w:val="000000" w:themeColor="text1"/>
          <w:sz w:val="24"/>
          <w:szCs w:val="24"/>
          <w:shd w:val="clear" w:color="auto" w:fill="FFFFFF"/>
        </w:rPr>
        <w:t xml:space="preserve">(2), 138–144. </w:t>
      </w:r>
      <w:hyperlink r:id="rId9" w:history="1">
        <w:r w:rsidRPr="00571E3E">
          <w:rPr>
            <w:rStyle w:val="Hyperlink"/>
            <w:rFonts w:ascii="Times New Roman" w:hAnsi="Times New Roman" w:cs="Times New Roman"/>
            <w:color w:val="000000" w:themeColor="text1"/>
            <w:sz w:val="24"/>
            <w:szCs w:val="24"/>
            <w:u w:val="none"/>
            <w:shd w:val="clear" w:color="auto" w:fill="FFFFFF"/>
          </w:rPr>
          <w:t>https://doi.org/10.5152/eurasianjmed.2015.50</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Lee, Y. J., Kim, S. H., Chung, S. W., Lee, Y. K., &amp; Koo, K. H</w:t>
      </w:r>
      <w:r w:rsidRPr="00571E3E">
        <w:rPr>
          <w:rFonts w:ascii="Times New Roman" w:hAnsi="Times New Roman" w:cs="Times New Roman"/>
          <w:color w:val="000000" w:themeColor="text1"/>
          <w:sz w:val="24"/>
          <w:szCs w:val="24"/>
          <w:shd w:val="clear" w:color="auto" w:fill="FFFFFF"/>
        </w:rPr>
        <w:t>. (2018). Causes of Chronic Hip Pain Undiagnosed or Misdiagnosed by Primary Physicians in Young Adult Patients: a Retrospective Descriptive Study. </w:t>
      </w:r>
      <w:r w:rsidRPr="00571E3E">
        <w:rPr>
          <w:rFonts w:ascii="Times New Roman" w:hAnsi="Times New Roman" w:cs="Times New Roman"/>
          <w:i/>
          <w:iCs/>
          <w:color w:val="000000" w:themeColor="text1"/>
          <w:sz w:val="24"/>
          <w:szCs w:val="24"/>
          <w:shd w:val="clear" w:color="auto" w:fill="FFFFFF"/>
        </w:rPr>
        <w:t>Journal of Korean medical science</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33</w:t>
      </w:r>
      <w:r w:rsidRPr="00571E3E">
        <w:rPr>
          <w:rFonts w:ascii="Times New Roman" w:hAnsi="Times New Roman" w:cs="Times New Roman"/>
          <w:color w:val="000000" w:themeColor="text1"/>
          <w:sz w:val="24"/>
          <w:szCs w:val="24"/>
          <w:shd w:val="clear" w:color="auto" w:fill="FFFFFF"/>
        </w:rPr>
        <w:t xml:space="preserve">(52), e339. </w:t>
      </w:r>
      <w:hyperlink r:id="rId10" w:history="1">
        <w:r w:rsidRPr="00571E3E">
          <w:rPr>
            <w:rStyle w:val="Hyperlink"/>
            <w:rFonts w:ascii="Times New Roman" w:hAnsi="Times New Roman" w:cs="Times New Roman"/>
            <w:color w:val="000000" w:themeColor="text1"/>
            <w:sz w:val="24"/>
            <w:szCs w:val="24"/>
            <w:u w:val="none"/>
            <w:shd w:val="clear" w:color="auto" w:fill="FFFFFF"/>
          </w:rPr>
          <w:t>http</w:t>
        </w:r>
        <w:r w:rsidRPr="00571E3E">
          <w:rPr>
            <w:rStyle w:val="Hyperlink"/>
            <w:rFonts w:ascii="Times New Roman" w:hAnsi="Times New Roman" w:cs="Times New Roman"/>
            <w:color w:val="000000" w:themeColor="text1"/>
            <w:sz w:val="24"/>
            <w:szCs w:val="24"/>
            <w:u w:val="none"/>
            <w:shd w:val="clear" w:color="auto" w:fill="FFFFFF"/>
          </w:rPr>
          <w:t>s://doi.org/10.3346/jkms.2018.33.e339</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 xml:space="preserve">MacFarlane, B. (2018). Management of gastroesophageal reflux disease in adults: a pharmacist's perspective. </w:t>
      </w:r>
      <w:r w:rsidRPr="00571E3E">
        <w:rPr>
          <w:rFonts w:ascii="Times New Roman" w:hAnsi="Times New Roman" w:cs="Times New Roman"/>
          <w:i/>
          <w:iCs/>
          <w:color w:val="000000" w:themeColor="text1"/>
          <w:sz w:val="24"/>
          <w:szCs w:val="24"/>
          <w:shd w:val="clear" w:color="auto" w:fill="FFFFFF"/>
        </w:rPr>
        <w:t>Integrated pharmacy research &amp; practice</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7</w:t>
      </w:r>
      <w:r w:rsidRPr="00571E3E">
        <w:rPr>
          <w:rFonts w:ascii="Times New Roman" w:hAnsi="Times New Roman" w:cs="Times New Roman"/>
          <w:color w:val="000000" w:themeColor="text1"/>
          <w:sz w:val="24"/>
          <w:szCs w:val="24"/>
          <w:shd w:val="clear" w:color="auto" w:fill="FFFFFF"/>
        </w:rPr>
        <w:t xml:space="preserve">, 41–52. </w:t>
      </w:r>
      <w:hyperlink r:id="rId11" w:history="1">
        <w:r w:rsidRPr="00571E3E">
          <w:rPr>
            <w:rStyle w:val="Hyperlink"/>
            <w:rFonts w:ascii="Times New Roman" w:hAnsi="Times New Roman" w:cs="Times New Roman"/>
            <w:color w:val="000000" w:themeColor="text1"/>
            <w:sz w:val="24"/>
            <w:szCs w:val="24"/>
            <w:u w:val="none"/>
            <w:shd w:val="clear" w:color="auto" w:fill="FFFFFF"/>
          </w:rPr>
          <w:t>https://doi.org/10.2147/IPRP.S142932</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Mora, J. C., Przkora, R., &amp; Cruz-Almeida, Y. (2018). Knee osteoarthritis: pathophysiology and current treatment modalities. </w:t>
      </w:r>
      <w:r w:rsidRPr="00571E3E">
        <w:rPr>
          <w:rFonts w:ascii="Times New Roman" w:hAnsi="Times New Roman" w:cs="Times New Roman"/>
          <w:i/>
          <w:iCs/>
          <w:color w:val="000000" w:themeColor="text1"/>
          <w:sz w:val="24"/>
          <w:szCs w:val="24"/>
          <w:shd w:val="clear" w:color="auto" w:fill="FFFFFF"/>
        </w:rPr>
        <w:t>Journal of pain research</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11</w:t>
      </w:r>
      <w:r w:rsidRPr="00571E3E">
        <w:rPr>
          <w:rFonts w:ascii="Times New Roman" w:hAnsi="Times New Roman" w:cs="Times New Roman"/>
          <w:color w:val="000000" w:themeColor="text1"/>
          <w:sz w:val="24"/>
          <w:szCs w:val="24"/>
          <w:shd w:val="clear" w:color="auto" w:fill="FFFFFF"/>
        </w:rPr>
        <w:t xml:space="preserve">, 2189–2196. </w:t>
      </w:r>
      <w:hyperlink r:id="rId12" w:history="1">
        <w:r w:rsidRPr="00571E3E">
          <w:rPr>
            <w:rStyle w:val="Hyperlink"/>
            <w:rFonts w:ascii="Times New Roman" w:hAnsi="Times New Roman" w:cs="Times New Roman"/>
            <w:color w:val="000000" w:themeColor="text1"/>
            <w:sz w:val="24"/>
            <w:szCs w:val="24"/>
            <w:u w:val="none"/>
            <w:shd w:val="clear" w:color="auto" w:fill="FFFFFF"/>
          </w:rPr>
          <w:t>https://doi.org/10.2147/JPR.S154002</w:t>
        </w:r>
      </w:hyperlink>
    </w:p>
    <w:p w:rsidR="00571E3E" w:rsidRPr="00571E3E" w:rsidRDefault="00A557E0" w:rsidP="00571E3E">
      <w:pPr>
        <w:spacing w:after="0" w:line="480" w:lineRule="auto"/>
        <w:ind w:left="851" w:hanging="851"/>
        <w:rPr>
          <w:rFonts w:ascii="Times New Roman" w:hAnsi="Times New Roman" w:cs="Times New Roman"/>
          <w:color w:val="000000" w:themeColor="text1"/>
          <w:sz w:val="24"/>
          <w:szCs w:val="24"/>
          <w:shd w:val="clear" w:color="auto" w:fill="FFFFFF"/>
        </w:rPr>
      </w:pPr>
      <w:r w:rsidRPr="00571E3E">
        <w:rPr>
          <w:rFonts w:ascii="Times New Roman" w:hAnsi="Times New Roman" w:cs="Times New Roman"/>
          <w:color w:val="000000" w:themeColor="text1"/>
          <w:sz w:val="24"/>
          <w:szCs w:val="24"/>
          <w:shd w:val="clear" w:color="auto" w:fill="FFFFFF"/>
        </w:rPr>
        <w:t>Yu, S. P., &amp; Hunter, D. J. (2015). Managing osteoarthritis. </w:t>
      </w:r>
      <w:r w:rsidRPr="00571E3E">
        <w:rPr>
          <w:rFonts w:ascii="Times New Roman" w:hAnsi="Times New Roman" w:cs="Times New Roman"/>
          <w:i/>
          <w:iCs/>
          <w:color w:val="000000" w:themeColor="text1"/>
          <w:sz w:val="24"/>
          <w:szCs w:val="24"/>
          <w:shd w:val="clear" w:color="auto" w:fill="FFFFFF"/>
        </w:rPr>
        <w:t>Australian prescriber</w:t>
      </w:r>
      <w:r w:rsidRPr="00571E3E">
        <w:rPr>
          <w:rFonts w:ascii="Times New Roman" w:hAnsi="Times New Roman" w:cs="Times New Roman"/>
          <w:color w:val="000000" w:themeColor="text1"/>
          <w:sz w:val="24"/>
          <w:szCs w:val="24"/>
          <w:shd w:val="clear" w:color="auto" w:fill="FFFFFF"/>
        </w:rPr>
        <w:t>, </w:t>
      </w:r>
      <w:r w:rsidRPr="00571E3E">
        <w:rPr>
          <w:rFonts w:ascii="Times New Roman" w:hAnsi="Times New Roman" w:cs="Times New Roman"/>
          <w:i/>
          <w:iCs/>
          <w:color w:val="000000" w:themeColor="text1"/>
          <w:sz w:val="24"/>
          <w:szCs w:val="24"/>
          <w:shd w:val="clear" w:color="auto" w:fill="FFFFFF"/>
        </w:rPr>
        <w:t>38</w:t>
      </w:r>
      <w:r w:rsidRPr="00571E3E">
        <w:rPr>
          <w:rFonts w:ascii="Times New Roman" w:hAnsi="Times New Roman" w:cs="Times New Roman"/>
          <w:color w:val="000000" w:themeColor="text1"/>
          <w:sz w:val="24"/>
          <w:szCs w:val="24"/>
          <w:shd w:val="clear" w:color="auto" w:fill="FFFFFF"/>
        </w:rPr>
        <w:t xml:space="preserve">(4), 115–119. </w:t>
      </w:r>
      <w:hyperlink r:id="rId13" w:history="1">
        <w:r w:rsidRPr="00571E3E">
          <w:rPr>
            <w:rStyle w:val="Hyperlink"/>
            <w:rFonts w:ascii="Times New Roman" w:hAnsi="Times New Roman" w:cs="Times New Roman"/>
            <w:color w:val="000000" w:themeColor="text1"/>
            <w:sz w:val="24"/>
            <w:szCs w:val="24"/>
            <w:u w:val="none"/>
            <w:shd w:val="clear" w:color="auto" w:fill="FFFFFF"/>
          </w:rPr>
          <w:t>https://doi.org/10.18773/austprescr.2015.039</w:t>
        </w:r>
      </w:hyperlink>
    </w:p>
    <w:p w:rsidR="00C20CA2" w:rsidRPr="00571E3E" w:rsidRDefault="00C20CA2" w:rsidP="00571E3E">
      <w:pPr>
        <w:spacing w:after="0" w:line="480" w:lineRule="auto"/>
        <w:rPr>
          <w:rFonts w:ascii="Times New Roman" w:hAnsi="Times New Roman" w:cs="Times New Roman"/>
          <w:color w:val="000000" w:themeColor="text1"/>
          <w:sz w:val="24"/>
          <w:szCs w:val="24"/>
        </w:rPr>
      </w:pPr>
    </w:p>
    <w:sectPr w:rsidR="00C20CA2" w:rsidRPr="00571E3E" w:rsidSect="00886B03">
      <w:head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7E0" w:rsidRDefault="00A557E0" w:rsidP="00886B03">
      <w:pPr>
        <w:spacing w:after="0" w:line="240" w:lineRule="auto"/>
      </w:pPr>
      <w:r>
        <w:separator/>
      </w:r>
    </w:p>
  </w:endnote>
  <w:endnote w:type="continuationSeparator" w:id="1">
    <w:p w:rsidR="00A557E0" w:rsidRDefault="00A557E0" w:rsidP="00886B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7E0" w:rsidRDefault="00A557E0" w:rsidP="00886B03">
      <w:pPr>
        <w:spacing w:after="0" w:line="240" w:lineRule="auto"/>
      </w:pPr>
      <w:r>
        <w:separator/>
      </w:r>
    </w:p>
  </w:footnote>
  <w:footnote w:type="continuationSeparator" w:id="1">
    <w:p w:rsidR="00A557E0" w:rsidRDefault="00A557E0" w:rsidP="00886B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167319"/>
      <w:docPartObj>
        <w:docPartGallery w:val="Page Numbers (Top of Page)"/>
        <w:docPartUnique/>
      </w:docPartObj>
    </w:sdtPr>
    <w:sdtEndPr>
      <w:rPr>
        <w:rFonts w:ascii="Times New Roman" w:hAnsi="Times New Roman" w:cs="Times New Roman"/>
        <w:noProof/>
        <w:sz w:val="24"/>
        <w:szCs w:val="24"/>
      </w:rPr>
    </w:sdtEndPr>
    <w:sdtContent>
      <w:p w:rsidR="00464DDF" w:rsidRPr="00464DDF" w:rsidRDefault="00886B03">
        <w:pPr>
          <w:pStyle w:val="Header"/>
          <w:jc w:val="right"/>
          <w:rPr>
            <w:rFonts w:ascii="Times New Roman" w:hAnsi="Times New Roman" w:cs="Times New Roman"/>
            <w:sz w:val="24"/>
            <w:szCs w:val="24"/>
          </w:rPr>
        </w:pPr>
        <w:r w:rsidRPr="00464DDF">
          <w:rPr>
            <w:rFonts w:ascii="Times New Roman" w:hAnsi="Times New Roman" w:cs="Times New Roman"/>
            <w:sz w:val="24"/>
            <w:szCs w:val="24"/>
          </w:rPr>
          <w:fldChar w:fldCharType="begin"/>
        </w:r>
        <w:r w:rsidR="00A557E0" w:rsidRPr="00464DDF">
          <w:rPr>
            <w:rFonts w:ascii="Times New Roman" w:hAnsi="Times New Roman" w:cs="Times New Roman"/>
            <w:sz w:val="24"/>
            <w:szCs w:val="24"/>
          </w:rPr>
          <w:instrText xml:space="preserve"> PAGE   \* MERGEFORMAT </w:instrText>
        </w:r>
        <w:r w:rsidRPr="00464DDF">
          <w:rPr>
            <w:rFonts w:ascii="Times New Roman" w:hAnsi="Times New Roman" w:cs="Times New Roman"/>
            <w:sz w:val="24"/>
            <w:szCs w:val="24"/>
          </w:rPr>
          <w:fldChar w:fldCharType="separate"/>
        </w:r>
        <w:r w:rsidR="008264F1">
          <w:rPr>
            <w:rFonts w:ascii="Times New Roman" w:hAnsi="Times New Roman" w:cs="Times New Roman"/>
            <w:noProof/>
            <w:sz w:val="24"/>
            <w:szCs w:val="24"/>
          </w:rPr>
          <w:t>1</w:t>
        </w:r>
        <w:r w:rsidRPr="00464DDF">
          <w:rPr>
            <w:rFonts w:ascii="Times New Roman" w:hAnsi="Times New Roman" w:cs="Times New Roman"/>
            <w:noProof/>
            <w:sz w:val="24"/>
            <w:szCs w:val="24"/>
          </w:rPr>
          <w:fldChar w:fldCharType="end"/>
        </w:r>
      </w:p>
    </w:sdtContent>
  </w:sdt>
  <w:p w:rsidR="00464DDF" w:rsidRPr="00464DDF" w:rsidRDefault="00464DD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278CE"/>
    <w:multiLevelType w:val="hybridMultilevel"/>
    <w:tmpl w:val="6824B210"/>
    <w:lvl w:ilvl="0" w:tplc="13FAB360">
      <w:start w:val="1"/>
      <w:numFmt w:val="decimal"/>
      <w:lvlText w:val="%1."/>
      <w:lvlJc w:val="left"/>
      <w:pPr>
        <w:ind w:left="720" w:hanging="360"/>
      </w:pPr>
      <w:rPr>
        <w:rFonts w:hint="default"/>
      </w:rPr>
    </w:lvl>
    <w:lvl w:ilvl="1" w:tplc="DB560220">
      <w:start w:val="1"/>
      <w:numFmt w:val="lowerLetter"/>
      <w:lvlText w:val="%2."/>
      <w:lvlJc w:val="left"/>
      <w:pPr>
        <w:ind w:left="1440" w:hanging="360"/>
      </w:pPr>
    </w:lvl>
    <w:lvl w:ilvl="2" w:tplc="FD5EA830" w:tentative="1">
      <w:start w:val="1"/>
      <w:numFmt w:val="lowerRoman"/>
      <w:lvlText w:val="%3."/>
      <w:lvlJc w:val="right"/>
      <w:pPr>
        <w:ind w:left="2160" w:hanging="180"/>
      </w:pPr>
    </w:lvl>
    <w:lvl w:ilvl="3" w:tplc="CCB6FF4E" w:tentative="1">
      <w:start w:val="1"/>
      <w:numFmt w:val="decimal"/>
      <w:lvlText w:val="%4."/>
      <w:lvlJc w:val="left"/>
      <w:pPr>
        <w:ind w:left="2880" w:hanging="360"/>
      </w:pPr>
    </w:lvl>
    <w:lvl w:ilvl="4" w:tplc="022A62C6" w:tentative="1">
      <w:start w:val="1"/>
      <w:numFmt w:val="lowerLetter"/>
      <w:lvlText w:val="%5."/>
      <w:lvlJc w:val="left"/>
      <w:pPr>
        <w:ind w:left="3600" w:hanging="360"/>
      </w:pPr>
    </w:lvl>
    <w:lvl w:ilvl="5" w:tplc="D5D877AE" w:tentative="1">
      <w:start w:val="1"/>
      <w:numFmt w:val="lowerRoman"/>
      <w:lvlText w:val="%6."/>
      <w:lvlJc w:val="right"/>
      <w:pPr>
        <w:ind w:left="4320" w:hanging="180"/>
      </w:pPr>
    </w:lvl>
    <w:lvl w:ilvl="6" w:tplc="D5EAEA64" w:tentative="1">
      <w:start w:val="1"/>
      <w:numFmt w:val="decimal"/>
      <w:lvlText w:val="%7."/>
      <w:lvlJc w:val="left"/>
      <w:pPr>
        <w:ind w:left="5040" w:hanging="360"/>
      </w:pPr>
    </w:lvl>
    <w:lvl w:ilvl="7" w:tplc="AF38AAA2" w:tentative="1">
      <w:start w:val="1"/>
      <w:numFmt w:val="lowerLetter"/>
      <w:lvlText w:val="%8."/>
      <w:lvlJc w:val="left"/>
      <w:pPr>
        <w:ind w:left="5760" w:hanging="360"/>
      </w:pPr>
    </w:lvl>
    <w:lvl w:ilvl="8" w:tplc="A4DE7F9E" w:tentative="1">
      <w:start w:val="1"/>
      <w:numFmt w:val="lowerRoman"/>
      <w:lvlText w:val="%9."/>
      <w:lvlJc w:val="right"/>
      <w:pPr>
        <w:ind w:left="6480" w:hanging="180"/>
      </w:pPr>
    </w:lvl>
  </w:abstractNum>
  <w:abstractNum w:abstractNumId="1">
    <w:nsid w:val="793D625D"/>
    <w:multiLevelType w:val="hybridMultilevel"/>
    <w:tmpl w:val="FD22981A"/>
    <w:lvl w:ilvl="0" w:tplc="B9F4436A">
      <w:start w:val="1"/>
      <w:numFmt w:val="decimal"/>
      <w:lvlText w:val="%1."/>
      <w:lvlJc w:val="left"/>
      <w:pPr>
        <w:ind w:left="720" w:hanging="360"/>
      </w:pPr>
      <w:rPr>
        <w:rFonts w:hint="default"/>
      </w:rPr>
    </w:lvl>
    <w:lvl w:ilvl="1" w:tplc="B47A44D0" w:tentative="1">
      <w:start w:val="1"/>
      <w:numFmt w:val="lowerLetter"/>
      <w:lvlText w:val="%2."/>
      <w:lvlJc w:val="left"/>
      <w:pPr>
        <w:ind w:left="1440" w:hanging="360"/>
      </w:pPr>
    </w:lvl>
    <w:lvl w:ilvl="2" w:tplc="58D8E60E" w:tentative="1">
      <w:start w:val="1"/>
      <w:numFmt w:val="lowerRoman"/>
      <w:lvlText w:val="%3."/>
      <w:lvlJc w:val="right"/>
      <w:pPr>
        <w:ind w:left="2160" w:hanging="180"/>
      </w:pPr>
    </w:lvl>
    <w:lvl w:ilvl="3" w:tplc="5B14A2C2" w:tentative="1">
      <w:start w:val="1"/>
      <w:numFmt w:val="decimal"/>
      <w:lvlText w:val="%4."/>
      <w:lvlJc w:val="left"/>
      <w:pPr>
        <w:ind w:left="2880" w:hanging="360"/>
      </w:pPr>
    </w:lvl>
    <w:lvl w:ilvl="4" w:tplc="90022D06" w:tentative="1">
      <w:start w:val="1"/>
      <w:numFmt w:val="lowerLetter"/>
      <w:lvlText w:val="%5."/>
      <w:lvlJc w:val="left"/>
      <w:pPr>
        <w:ind w:left="3600" w:hanging="360"/>
      </w:pPr>
    </w:lvl>
    <w:lvl w:ilvl="5" w:tplc="AA6691DC" w:tentative="1">
      <w:start w:val="1"/>
      <w:numFmt w:val="lowerRoman"/>
      <w:lvlText w:val="%6."/>
      <w:lvlJc w:val="right"/>
      <w:pPr>
        <w:ind w:left="4320" w:hanging="180"/>
      </w:pPr>
    </w:lvl>
    <w:lvl w:ilvl="6" w:tplc="0B5E977A" w:tentative="1">
      <w:start w:val="1"/>
      <w:numFmt w:val="decimal"/>
      <w:lvlText w:val="%7."/>
      <w:lvlJc w:val="left"/>
      <w:pPr>
        <w:ind w:left="5040" w:hanging="360"/>
      </w:pPr>
    </w:lvl>
    <w:lvl w:ilvl="7" w:tplc="AB0C6D6E" w:tentative="1">
      <w:start w:val="1"/>
      <w:numFmt w:val="lowerLetter"/>
      <w:lvlText w:val="%8."/>
      <w:lvlJc w:val="left"/>
      <w:pPr>
        <w:ind w:left="5760" w:hanging="360"/>
      </w:pPr>
    </w:lvl>
    <w:lvl w:ilvl="8" w:tplc="9DE6EA1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5469"/>
    <w:rsid w:val="00006D25"/>
    <w:rsid w:val="000B3376"/>
    <w:rsid w:val="00110844"/>
    <w:rsid w:val="001919E5"/>
    <w:rsid w:val="001A26EA"/>
    <w:rsid w:val="002A517D"/>
    <w:rsid w:val="00464DDF"/>
    <w:rsid w:val="00485EE4"/>
    <w:rsid w:val="004D1383"/>
    <w:rsid w:val="00545469"/>
    <w:rsid w:val="00571E3E"/>
    <w:rsid w:val="0058653C"/>
    <w:rsid w:val="005F40AA"/>
    <w:rsid w:val="00683E7A"/>
    <w:rsid w:val="00717E5A"/>
    <w:rsid w:val="007A7CEB"/>
    <w:rsid w:val="007E088C"/>
    <w:rsid w:val="008264F1"/>
    <w:rsid w:val="00884F0B"/>
    <w:rsid w:val="00886B03"/>
    <w:rsid w:val="00897910"/>
    <w:rsid w:val="00A2481B"/>
    <w:rsid w:val="00A557E0"/>
    <w:rsid w:val="00BB7FA8"/>
    <w:rsid w:val="00C14724"/>
    <w:rsid w:val="00C20CA2"/>
    <w:rsid w:val="00CB0608"/>
    <w:rsid w:val="00CE4B8E"/>
    <w:rsid w:val="00D54643"/>
    <w:rsid w:val="00DA16D8"/>
    <w:rsid w:val="00E44E8E"/>
    <w:rsid w:val="00E739A5"/>
    <w:rsid w:val="00F21991"/>
    <w:rsid w:val="00F3600D"/>
    <w:rsid w:val="00F63002"/>
    <w:rsid w:val="00FC61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B8E"/>
    <w:pPr>
      <w:ind w:left="720"/>
      <w:contextualSpacing/>
    </w:pPr>
  </w:style>
  <w:style w:type="character" w:styleId="Hyperlink">
    <w:name w:val="Hyperlink"/>
    <w:basedOn w:val="DefaultParagraphFont"/>
    <w:uiPriority w:val="99"/>
    <w:unhideWhenUsed/>
    <w:rsid w:val="00897910"/>
    <w:rPr>
      <w:color w:val="0563C1" w:themeColor="hyperlink"/>
      <w:u w:val="single"/>
    </w:rPr>
  </w:style>
  <w:style w:type="character" w:customStyle="1" w:styleId="UnresolvedMention">
    <w:name w:val="Unresolved Mention"/>
    <w:basedOn w:val="DefaultParagraphFont"/>
    <w:uiPriority w:val="99"/>
    <w:semiHidden/>
    <w:unhideWhenUsed/>
    <w:rsid w:val="00897910"/>
    <w:rPr>
      <w:color w:val="605E5C"/>
      <w:shd w:val="clear" w:color="auto" w:fill="E1DFDD"/>
    </w:rPr>
  </w:style>
  <w:style w:type="paragraph" w:styleId="Header">
    <w:name w:val="header"/>
    <w:basedOn w:val="Normal"/>
    <w:link w:val="HeaderChar"/>
    <w:uiPriority w:val="99"/>
    <w:unhideWhenUsed/>
    <w:rsid w:val="00464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DDF"/>
  </w:style>
  <w:style w:type="paragraph" w:styleId="Footer">
    <w:name w:val="footer"/>
    <w:basedOn w:val="Normal"/>
    <w:link w:val="FooterChar"/>
    <w:uiPriority w:val="99"/>
    <w:unhideWhenUsed/>
    <w:rsid w:val="00464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757-7861.2009.00055.x" TargetMode="External"/><Relationship Id="rId13" Type="http://schemas.openxmlformats.org/officeDocument/2006/relationships/hyperlink" Target="https://doi.org/10.18773/austprescr.2015.039" TargetMode="External"/><Relationship Id="rId3" Type="http://schemas.openxmlformats.org/officeDocument/2006/relationships/settings" Target="settings.xml"/><Relationship Id="rId7" Type="http://schemas.openxmlformats.org/officeDocument/2006/relationships/hyperlink" Target="https://doi.org/10.1038/boneres.2016.44" TargetMode="External"/><Relationship Id="rId12" Type="http://schemas.openxmlformats.org/officeDocument/2006/relationships/hyperlink" Target="https://doi.org/10.2147/JPR.S15400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47/IPRP.S14293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3346/jkms.2018.33.e339" TargetMode="External"/><Relationship Id="rId4" Type="http://schemas.openxmlformats.org/officeDocument/2006/relationships/webSettings" Target="webSettings.xml"/><Relationship Id="rId9" Type="http://schemas.openxmlformats.org/officeDocument/2006/relationships/hyperlink" Target="https://doi.org/10.5152/eurasianjmed.2015.5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2020-10-30T06:50:00Z</dcterms:created>
  <dcterms:modified xsi:type="dcterms:W3CDTF">2020-10-30T06:50:00Z</dcterms:modified>
</cp:coreProperties>
</file>